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4EA" w:rsidRDefault="001004EA" w:rsidP="001004EA">
      <w:pPr>
        <w:widowControl w:val="0"/>
        <w:spacing w:line="276" w:lineRule="auto"/>
        <w:ind w:left="567" w:right="-1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r>
        <w:rPr>
          <w:rFonts w:ascii="Arial" w:eastAsia="Arial" w:hAnsi="Arial" w:cs="Arial"/>
          <w:b/>
          <w:sz w:val="22"/>
          <w:szCs w:val="22"/>
        </w:rPr>
        <w:t>ANEXO XIII</w:t>
      </w:r>
    </w:p>
    <w:p w:rsidR="001004EA" w:rsidRDefault="001004EA" w:rsidP="001004EA">
      <w:pPr>
        <w:widowControl w:val="0"/>
        <w:spacing w:before="14"/>
        <w:ind w:left="567" w:right="-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CHECKLIST - ANÁLISE TÉCNICA DE PROPOSTA - CARTA DE SERVIÇOS</w:t>
      </w:r>
    </w:p>
    <w:bookmarkEnd w:id="0"/>
    <w:p w:rsidR="001004EA" w:rsidRDefault="001004EA" w:rsidP="001004EA">
      <w:pPr>
        <w:widowControl w:val="0"/>
        <w:spacing w:before="14"/>
        <w:ind w:left="1700"/>
        <w:jc w:val="center"/>
        <w:rPr>
          <w:rFonts w:ascii="Arial" w:eastAsia="Arial" w:hAnsi="Arial" w:cs="Arial"/>
          <w:sz w:val="22"/>
          <w:szCs w:val="22"/>
        </w:rPr>
      </w:pPr>
    </w:p>
    <w:p w:rsidR="001004EA" w:rsidRDefault="001004EA" w:rsidP="001004EA">
      <w:pPr>
        <w:ind w:left="100"/>
        <w:jc w:val="center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  <w:highlight w:val="white"/>
        </w:rPr>
        <w:t>Checklist</w:t>
      </w:r>
      <w:proofErr w:type="spellEnd"/>
      <w:r>
        <w:rPr>
          <w:rFonts w:ascii="Arial" w:eastAsia="Arial" w:hAnsi="Arial" w:cs="Arial"/>
          <w:sz w:val="18"/>
          <w:szCs w:val="18"/>
          <w:highlight w:val="white"/>
        </w:rPr>
        <w:t xml:space="preserve"> de documentos para cadastro de proponente, em cumprimento aos requisitos estabelecidos no Decreto Estadual nº 733, de 24 de outubro de 2024 - ENV</w:t>
      </w:r>
      <w:r>
        <w:rPr>
          <w:rFonts w:ascii="Arial" w:eastAsia="Arial" w:hAnsi="Arial" w:cs="Arial"/>
          <w:sz w:val="18"/>
          <w:szCs w:val="18"/>
          <w:highlight w:val="white"/>
        </w:rPr>
        <w:t>IAR NA CARTA DE SERVIÇOS</w:t>
      </w:r>
      <w:r>
        <w:rPr>
          <w:rFonts w:ascii="Arial" w:eastAsia="Arial" w:hAnsi="Arial" w:cs="Arial"/>
          <w:sz w:val="18"/>
          <w:szCs w:val="18"/>
        </w:rPr>
        <w:t>.</w:t>
      </w:r>
    </w:p>
    <w:p w:rsidR="001004EA" w:rsidRDefault="001004EA" w:rsidP="001004EA">
      <w:pPr>
        <w:ind w:left="10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94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51"/>
        <w:gridCol w:w="6609"/>
        <w:gridCol w:w="975"/>
        <w:gridCol w:w="1170"/>
      </w:tblGrid>
      <w:tr w:rsidR="001004EA" w:rsidTr="00C06F2F">
        <w:trPr>
          <w:trHeight w:val="539"/>
        </w:trPr>
        <w:tc>
          <w:tcPr>
            <w:tcW w:w="7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DOCUMENTOS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120" w:after="120"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  <w:t>S/N/NA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  <w:t>FLS.</w:t>
            </w:r>
          </w:p>
        </w:tc>
      </w:tr>
      <w:tr w:rsidR="001004EA" w:rsidTr="00C06F2F">
        <w:trPr>
          <w:trHeight w:val="1295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Ofício do representante legal da Organização Governamental e/ou Consórcios Públicos, endereçado ao Titular da Secretaria de Estado da Assistência Social, Mulher e Família, manifestando interesse na celebração do Termo de Convênio, com objeto claramente definido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5º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207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Proposta de trabalho devidamente cadastrado e assinado no SIGEF.  </w:t>
            </w:r>
          </w:p>
          <w:p w:rsidR="001004EA" w:rsidRDefault="001004EA" w:rsidP="00C06F2F">
            <w:pPr>
              <w:widowControl w:val="0"/>
              <w:spacing w:before="240" w:after="2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OBS: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(Deverá constar obrigatoriamente na proposta de trabalho: Objeto e finalidade do convênio; </w:t>
            </w:r>
            <w:r>
              <w:rPr>
                <w:rFonts w:ascii="Arial" w:eastAsia="Arial" w:hAnsi="Arial" w:cs="Arial"/>
                <w:sz w:val="18"/>
                <w:szCs w:val="18"/>
              </w:rPr>
              <w:t>Descrição da realidade a ser modificada; Metas detalhadas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; Resultados esperados; </w:t>
            </w:r>
            <w:r>
              <w:rPr>
                <w:rFonts w:ascii="Arial" w:eastAsia="Arial" w:hAnsi="Arial" w:cs="Arial"/>
                <w:sz w:val="18"/>
                <w:szCs w:val="18"/>
              </w:rPr>
              <w:t>Valor total do projeto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s; Especificação de bens, serviços e obras; Cronograma financeiro; Previsão de receitas adicionais; Demonstração de capacidade técnica e operacional;  Local de execução e público-alvo; Critérios para doação de bens) (Art. 12 do Decreto nº 733/2024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6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Comprovante de inscrição no CNPJ, ativo e emitido no exercício corrente.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8º, inciso II do Decreto nº 733/2024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1185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Comprovante atualizado de endereço de funcionamento da entidade Organização Governamental ou Consórcio. 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conta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de água, luz, telefone, gás, etc.).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8º, inciso III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6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Termo de posse, ato de nomeação ou de eleição, ou instrumento equivalente.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9º, inciso III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9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Dados do representante e de seus dirigentes, incluindo documentos pessoais (RG e CPF).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9º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9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Comprovante atualizado de residência do prefeito ou do dirigente máximo da entidade da administração indireta.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9º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1785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Declaração quanto à manutenção de programas destinados à detecção, identificação e tratamento da subnutrição infantil, nos casos em que o convênio se referir às áreas da saúde, da educação ou da assistência social, conforme o disposto na Lei nº 10.867, de 7 de agosto de 1998.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(Art. 9 parágrafo </w:t>
            </w:r>
            <w:proofErr w:type="spellStart"/>
            <w:r>
              <w:rPr>
                <w:rFonts w:ascii="Arial" w:eastAsia="Arial" w:hAnsi="Arial" w:cs="Arial"/>
                <w:i/>
                <w:sz w:val="18"/>
                <w:szCs w:val="18"/>
              </w:rPr>
              <w:t>unico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973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Demonstração de capacidade técnica e operacional do proponente para execução do objeto, tais como relatório de atividades desenvolvidas nos últimos 36 (trinta e seis) meses e, ainda, informações sobre a existência de estrutura e pessoal necessários ao atingimento da finalidade e dos resultados esperados, sempre que a finalidade e/ou os resultados forem alcançados após a conclusão do objeto.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12, inciso X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1126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Previsão de receitas a serem auferidas na execução do objeto, inclusive as provenientes de ingressos, patrocínios e outros recursos públicos ou privados.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12º inciso IX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1185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caso de prever doação de bens, o procedimento ou os critérios de seleção ou a identificação dos beneficiários previamente selecionados.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12º inciso XII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9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Estimativa do valor das aquisições ou contratações, acompanhada das memórias de cálculo e dos documentos que lhe dão suporte.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13, inciso I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9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Plano de mídia, quando houver despesas com publicidade, no qual conste o apoio institucional do Poder Executivo.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13, inciso II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9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Declaração de responsabilidade pelo pagamento de encargos trabalhistas, previdenciários, fiscais e comerciais relacionados à execução do objeto.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21, inciso XVIII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1185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Declaração ou Empenho emitido pela Organização Governamental ou Consórcio de reserva de recursos orçamentários para a contrapartida, se houver.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25, §1º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375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Cópia da DART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525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</w:pP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  <w:t>TIPO DE PROPONENTE CONSÓRCIO PÚBLICO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  <w:t>S/N/NA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FEFEF"/>
              </w:rPr>
              <w:t>FLS.</w:t>
            </w:r>
          </w:p>
        </w:tc>
      </w:tr>
      <w:tr w:rsidR="001004EA" w:rsidTr="00C06F2F">
        <w:trPr>
          <w:trHeight w:val="2025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Publicação da lei de ratificação do protocolo de intenções.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(1° A ratificação realizada após 2 (dois) anos da subscrição do protocolo de intenções dependerá de homologação da assembleia geral do consórcio público.)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(2° Fica dispensado da ratificação de que trata o inciso I do caput deste artigo o ente da federação que, antes de subscrever o protocolo de intenções, disciplinar por lei a sua participação no consórcio público) (Art. 10º, inciso I parágrafo 1 e 2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6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Cópia do contrato de consórcio público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10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004EA" w:rsidTr="00C06F2F">
        <w:trPr>
          <w:trHeight w:val="900"/>
        </w:trPr>
        <w:tc>
          <w:tcPr>
            <w:tcW w:w="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left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/>
              <w:ind w:right="100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Estatuto aprovado, atualizado e acompanhado de eventuais alterações registrados no cartório competente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(Art. 10 do Decreto nº 733/2024)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04EA" w:rsidRDefault="001004EA" w:rsidP="00C06F2F">
            <w:pPr>
              <w:widowControl w:val="0"/>
              <w:spacing w:before="240" w:after="240"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732BA9" w:rsidRPr="001004EA" w:rsidRDefault="00732BA9" w:rsidP="001004EA"/>
    <w:sectPr w:rsidR="00732BA9" w:rsidRPr="001004EA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02319C"/>
    <w:rsid w:val="001004EA"/>
    <w:rsid w:val="00100FC6"/>
    <w:rsid w:val="00271A64"/>
    <w:rsid w:val="0034573C"/>
    <w:rsid w:val="006306D3"/>
    <w:rsid w:val="00652ADA"/>
    <w:rsid w:val="00732BA9"/>
    <w:rsid w:val="007E412A"/>
    <w:rsid w:val="00A63155"/>
    <w:rsid w:val="00A8369B"/>
    <w:rsid w:val="00DD424A"/>
    <w:rsid w:val="00EF0571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2025-04-22T15:59:00Z</dcterms:created>
  <dcterms:modified xsi:type="dcterms:W3CDTF">2025-04-22T15:59:00Z</dcterms:modified>
</cp:coreProperties>
</file>